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Para obtenção dos valores totais, multiplicar a coluna preço unitário, pela coluna de </w:t>
      </w:r>
      <w:r>
        <w:rPr>
          <w:rFonts w:ascii="Times New Roman" w:hAnsi="Times New Roman"/>
          <w:b/>
          <w:bCs/>
          <w:sz w:val="24"/>
          <w:szCs w:val="24"/>
        </w:rPr>
        <w:t>QTD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7A5B8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Cânfora </w:t>
            </w:r>
            <w:proofErr w:type="spellStart"/>
            <w:r>
              <w:rPr>
                <w:rFonts w:ascii="Times New Roman" w:eastAsia="Times New Roman" w:hAnsi="Times New Roman"/>
              </w:rPr>
              <w:t>refindada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em pastilhas, cada frasco contendo 200 pastilhas de 0,75g</w:t>
            </w: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464AEC" w:rsidRDefault="007A5B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Preenchimento apenas por pessoas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 xml:space="preserve">Estado de Minas 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F0134-8921-4B04-8389-DE703DE9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2024-01-29T16:30:00Z</dcterms:created>
  <dcterms:modified xsi:type="dcterms:W3CDTF">2024-01-29T16:30:00Z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